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78C" w:rsidRPr="0087536D" w:rsidRDefault="007C778C" w:rsidP="00680B07">
      <w:pPr>
        <w:spacing w:line="240" w:lineRule="auto"/>
        <w:rPr>
          <w:sz w:val="2"/>
          <w:szCs w:val="2"/>
        </w:rPr>
      </w:pPr>
      <w:bookmarkStart w:id="0" w:name="_GoBack"/>
      <w:bookmarkEnd w:id="0"/>
      <w:r w:rsidRPr="0087536D">
        <w:rPr>
          <w:szCs w:val="18"/>
        </w:rPr>
        <w:tab/>
      </w:r>
    </w:p>
    <w:tbl>
      <w:tblPr>
        <w:tblStyle w:val="Tabel-Gitter"/>
        <w:tblpPr w:vertAnchor="page" w:horzAnchor="page" w:tblpX="9016" w:tblpY="4707"/>
        <w:tblOverlap w:val="never"/>
        <w:tblW w:w="0" w:type="auto"/>
        <w:tblLayout w:type="fixed"/>
        <w:tblCellMar>
          <w:left w:w="0" w:type="dxa"/>
          <w:right w:w="0" w:type="dxa"/>
        </w:tblCellMar>
        <w:tblLook w:val="04A0" w:firstRow="1" w:lastRow="0" w:firstColumn="1" w:lastColumn="0" w:noHBand="0" w:noVBand="1"/>
        <w:tblCaption w:val="Dokumentoplysninger"/>
        <w:tblDescription w:val="Dokumentoplysninger"/>
      </w:tblPr>
      <w:tblGrid>
        <w:gridCol w:w="2495"/>
      </w:tblGrid>
      <w:tr w:rsidR="007C778C" w:rsidRPr="0087536D" w:rsidTr="007C778C">
        <w:trPr>
          <w:tblHeader/>
        </w:trPr>
        <w:tc>
          <w:tcPr>
            <w:tcW w:w="2495" w:type="dxa"/>
            <w:tcBorders>
              <w:top w:val="nil"/>
              <w:left w:val="nil"/>
              <w:bottom w:val="nil"/>
              <w:right w:val="nil"/>
            </w:tcBorders>
          </w:tcPr>
          <w:p w:rsidR="007C778C" w:rsidRPr="0087536D" w:rsidRDefault="0087536D" w:rsidP="0087536D">
            <w:pPr>
              <w:pStyle w:val="Kolofon"/>
              <w:framePr w:wrap="auto" w:vAnchor="margin" w:hAnchor="text" w:xAlign="left" w:yAlign="inline"/>
              <w:suppressOverlap w:val="0"/>
              <w:rPr>
                <w:sz w:val="22"/>
              </w:rPr>
            </w:pPr>
            <w:r w:rsidRPr="0087536D">
              <w:t>Den 27. oktober 2021</w:t>
            </w:r>
          </w:p>
        </w:tc>
      </w:tr>
    </w:tbl>
    <w:p w:rsidR="007C778C" w:rsidRPr="0087536D" w:rsidRDefault="007C778C" w:rsidP="00680B07">
      <w:pPr>
        <w:spacing w:line="240" w:lineRule="auto"/>
        <w:rPr>
          <w:sz w:val="2"/>
          <w:szCs w:val="2"/>
        </w:rPr>
      </w:pPr>
      <w:r w:rsidRPr="0087536D">
        <w:rPr>
          <w:szCs w:val="18"/>
        </w:rPr>
        <w:tab/>
      </w:r>
    </w:p>
    <w:tbl>
      <w:tblPr>
        <w:tblStyle w:val="Tabel-Gitter"/>
        <w:tblW w:w="0" w:type="auto"/>
        <w:tblCellMar>
          <w:left w:w="0" w:type="dxa"/>
          <w:right w:w="0" w:type="dxa"/>
        </w:tblCellMar>
        <w:tblLook w:val="04A0" w:firstRow="1" w:lastRow="0" w:firstColumn="1" w:lastColumn="0" w:noHBand="0" w:noVBand="1"/>
        <w:tblCaption w:val="Vedrørende"/>
        <w:tblDescription w:val="Vedrørende"/>
      </w:tblPr>
      <w:tblGrid>
        <w:gridCol w:w="1985"/>
        <w:gridCol w:w="5384"/>
      </w:tblGrid>
      <w:tr w:rsidR="007C778C" w:rsidRPr="0087536D" w:rsidTr="007C778C">
        <w:trPr>
          <w:trHeight w:hRule="exact" w:val="284"/>
          <w:tblHeader/>
        </w:trPr>
        <w:tc>
          <w:tcPr>
            <w:tcW w:w="1985" w:type="dxa"/>
            <w:tcBorders>
              <w:top w:val="nil"/>
              <w:left w:val="nil"/>
              <w:bottom w:val="nil"/>
              <w:right w:val="nil"/>
            </w:tcBorders>
          </w:tcPr>
          <w:p w:rsidR="007C778C" w:rsidRPr="0087536D" w:rsidRDefault="007C778C" w:rsidP="00062C56"/>
        </w:tc>
        <w:tc>
          <w:tcPr>
            <w:tcW w:w="5384" w:type="dxa"/>
            <w:tcBorders>
              <w:top w:val="nil"/>
              <w:left w:val="nil"/>
              <w:bottom w:val="nil"/>
              <w:right w:val="nil"/>
            </w:tcBorders>
          </w:tcPr>
          <w:p w:rsidR="007C778C" w:rsidRPr="0087536D" w:rsidRDefault="007C778C" w:rsidP="00062C56"/>
        </w:tc>
      </w:tr>
      <w:tr w:rsidR="006F4C45" w:rsidRPr="0087536D" w:rsidTr="007C778C">
        <w:trPr>
          <w:trHeight w:hRule="exact" w:val="567"/>
        </w:trPr>
        <w:tc>
          <w:tcPr>
            <w:tcW w:w="1985" w:type="dxa"/>
            <w:tcBorders>
              <w:top w:val="nil"/>
              <w:left w:val="nil"/>
              <w:bottom w:val="nil"/>
              <w:right w:val="nil"/>
            </w:tcBorders>
          </w:tcPr>
          <w:p w:rsidR="006F4C45" w:rsidRPr="0087536D" w:rsidRDefault="006F4C45" w:rsidP="006F4C45">
            <w:pPr>
              <w:pStyle w:val="Overskrift1"/>
              <w:outlineLvl w:val="0"/>
            </w:pPr>
            <w:r w:rsidRPr="0087536D">
              <w:t>Notat</w:t>
            </w:r>
          </w:p>
        </w:tc>
        <w:tc>
          <w:tcPr>
            <w:tcW w:w="5384" w:type="dxa"/>
            <w:tcBorders>
              <w:top w:val="nil"/>
              <w:left w:val="nil"/>
              <w:bottom w:val="nil"/>
              <w:right w:val="nil"/>
            </w:tcBorders>
          </w:tcPr>
          <w:p w:rsidR="006F4C45" w:rsidRPr="0087536D" w:rsidRDefault="006F4C45">
            <w:pPr>
              <w:spacing w:after="200" w:line="276" w:lineRule="auto"/>
              <w:rPr>
                <w:sz w:val="22"/>
              </w:rPr>
            </w:pPr>
          </w:p>
          <w:p w:rsidR="006F4C45" w:rsidRPr="0087536D" w:rsidRDefault="006F4C45" w:rsidP="006F4C45">
            <w:pPr>
              <w:pStyle w:val="Vedrrende"/>
            </w:pPr>
          </w:p>
        </w:tc>
      </w:tr>
      <w:tr w:rsidR="006F4C45" w:rsidRPr="0087536D" w:rsidTr="007C778C">
        <w:trPr>
          <w:trHeight w:hRule="exact" w:val="1871"/>
        </w:trPr>
        <w:tc>
          <w:tcPr>
            <w:tcW w:w="1985" w:type="dxa"/>
            <w:tcBorders>
              <w:top w:val="nil"/>
              <w:left w:val="nil"/>
              <w:bottom w:val="nil"/>
              <w:right w:val="nil"/>
            </w:tcBorders>
          </w:tcPr>
          <w:p w:rsidR="006F4C45" w:rsidRPr="0087536D" w:rsidRDefault="006F4C45" w:rsidP="006F4C45">
            <w:pPr>
              <w:pStyle w:val="Vedrrende"/>
            </w:pPr>
            <w:r w:rsidRPr="0087536D">
              <w:t>Vedrørende:</w:t>
            </w:r>
          </w:p>
        </w:tc>
        <w:tc>
          <w:tcPr>
            <w:tcW w:w="5384" w:type="dxa"/>
            <w:tcBorders>
              <w:top w:val="nil"/>
              <w:left w:val="nil"/>
              <w:bottom w:val="nil"/>
              <w:right w:val="nil"/>
            </w:tcBorders>
          </w:tcPr>
          <w:p w:rsidR="006F4C45" w:rsidRPr="0087536D" w:rsidRDefault="0087536D" w:rsidP="0087536D">
            <w:pPr>
              <w:pStyle w:val="Vedrrende"/>
            </w:pPr>
            <w:r w:rsidRPr="0087536D">
              <w:t>Styringsdialogmøde med Stenløse-Ølstykke Boligforening</w:t>
            </w:r>
          </w:p>
        </w:tc>
      </w:tr>
    </w:tbl>
    <w:p w:rsidR="006D1010" w:rsidRPr="0087536D" w:rsidRDefault="006D1010" w:rsidP="006D1010">
      <w:pPr>
        <w:spacing w:line="14" w:lineRule="atLeast"/>
        <w:rPr>
          <w:sz w:val="2"/>
          <w:szCs w:val="2"/>
        </w:rPr>
      </w:pPr>
      <w:r w:rsidRPr="0087536D">
        <w:rPr>
          <w:sz w:val="2"/>
          <w:szCs w:val="2"/>
        </w:rPr>
        <w:tab/>
      </w:r>
    </w:p>
    <w:p w:rsidR="0087536D" w:rsidRPr="0087536D" w:rsidRDefault="0087536D" w:rsidP="0087536D">
      <w:pPr>
        <w:rPr>
          <w:b/>
        </w:rPr>
      </w:pPr>
      <w:r w:rsidRPr="0087536D">
        <w:rPr>
          <w:b/>
        </w:rPr>
        <w:t xml:space="preserve">Redegørelse for styringsdialogmøde mellem </w:t>
      </w:r>
      <w:r>
        <w:rPr>
          <w:b/>
        </w:rPr>
        <w:t xml:space="preserve">Stenløse-Ølstykke Boligforening </w:t>
      </w:r>
      <w:r w:rsidRPr="0087536D">
        <w:rPr>
          <w:b/>
        </w:rPr>
        <w:t>og Egedal Kommune</w:t>
      </w:r>
    </w:p>
    <w:p w:rsidR="0087536D" w:rsidRPr="0087536D" w:rsidRDefault="0087536D" w:rsidP="0087536D"/>
    <w:p w:rsidR="0087536D" w:rsidRPr="0087536D" w:rsidRDefault="0087536D" w:rsidP="0087536D">
      <w:r w:rsidRPr="0087536D">
        <w:t>I medfør af lov om almene boliger m.v. § 164 skal Egedal Kommune føre tilsyn med de almene boligorganisationer, som har hjemsted i kommunen. Kommunen skal sørge for at holde et årligt dialogmøde, og offentliggøre en redegørelse for den gennemførte dialog på kommunens</w:t>
      </w:r>
    </w:p>
    <w:p w:rsidR="0087536D" w:rsidRPr="0087536D" w:rsidRDefault="0087536D" w:rsidP="0087536D">
      <w:r w:rsidRPr="0087536D">
        <w:t>hjemmeside.</w:t>
      </w:r>
    </w:p>
    <w:p w:rsidR="0087536D" w:rsidRPr="0087536D" w:rsidRDefault="0087536D" w:rsidP="0087536D"/>
    <w:p w:rsidR="0087536D" w:rsidRPr="0087536D" w:rsidRDefault="0087536D" w:rsidP="0087536D">
      <w:r w:rsidRPr="0087536D">
        <w:t xml:space="preserve">Redegørelsen er udarbejdet i forlængelse af styringsdialogmøde afholdt torsdag den </w:t>
      </w:r>
      <w:r>
        <w:t>4. november 2021 kl. 14.30-15.30</w:t>
      </w:r>
      <w:r w:rsidRPr="0087536D">
        <w:t>.</w:t>
      </w:r>
    </w:p>
    <w:p w:rsidR="0087536D" w:rsidRPr="0087536D" w:rsidRDefault="0087536D" w:rsidP="0087536D"/>
    <w:p w:rsidR="0087536D" w:rsidRDefault="0087536D" w:rsidP="0087536D">
      <w:pPr>
        <w:rPr>
          <w:b/>
        </w:rPr>
      </w:pPr>
      <w:r w:rsidRPr="0087536D">
        <w:rPr>
          <w:b/>
        </w:rPr>
        <w:t>Mødedeltagere</w:t>
      </w:r>
    </w:p>
    <w:p w:rsidR="007A24E9" w:rsidRPr="007A24E9" w:rsidRDefault="007A24E9" w:rsidP="0087536D">
      <w:r w:rsidRPr="007A24E9">
        <w:t>Nina Møller, formanden for selskabet</w:t>
      </w:r>
    </w:p>
    <w:p w:rsidR="007A24E9" w:rsidRPr="007A24E9" w:rsidRDefault="007A24E9" w:rsidP="0087536D">
      <w:r w:rsidRPr="007A24E9">
        <w:t xml:space="preserve">Brian </w:t>
      </w:r>
      <w:proofErr w:type="spellStart"/>
      <w:r w:rsidRPr="007A24E9">
        <w:t>Øllegaard</w:t>
      </w:r>
      <w:proofErr w:type="spellEnd"/>
      <w:r w:rsidRPr="007A24E9">
        <w:t>, næstformand</w:t>
      </w:r>
    </w:p>
    <w:p w:rsidR="007A24E9" w:rsidRPr="007A24E9" w:rsidRDefault="007A24E9" w:rsidP="0087536D">
      <w:r w:rsidRPr="007A24E9">
        <w:t xml:space="preserve">Torben </w:t>
      </w:r>
      <w:proofErr w:type="spellStart"/>
      <w:r w:rsidRPr="007A24E9">
        <w:t>Thingstrup</w:t>
      </w:r>
      <w:proofErr w:type="spellEnd"/>
      <w:r w:rsidRPr="007A24E9">
        <w:t xml:space="preserve">, næstformand </w:t>
      </w:r>
    </w:p>
    <w:p w:rsidR="00CE78F5" w:rsidRPr="00CE78F5" w:rsidRDefault="00CE78F5" w:rsidP="0087536D">
      <w:r w:rsidRPr="003C0992">
        <w:t>Steen Karlsson, kundechef, KAB</w:t>
      </w:r>
    </w:p>
    <w:p w:rsidR="0087536D" w:rsidRPr="0087536D" w:rsidRDefault="0087536D" w:rsidP="0087536D">
      <w:r w:rsidRPr="0087536D">
        <w:t>Cigdem Koyuncu, juridisk konsulent, Egedal Kommune</w:t>
      </w:r>
    </w:p>
    <w:p w:rsidR="0087536D" w:rsidRPr="0087536D" w:rsidRDefault="0087536D" w:rsidP="0087536D"/>
    <w:p w:rsidR="0087536D" w:rsidRPr="0087536D" w:rsidRDefault="0087536D" w:rsidP="0087536D">
      <w:pPr>
        <w:rPr>
          <w:b/>
        </w:rPr>
      </w:pPr>
      <w:r w:rsidRPr="0087536D">
        <w:rPr>
          <w:b/>
        </w:rPr>
        <w:t xml:space="preserve">Årsregnskab </w:t>
      </w:r>
    </w:p>
    <w:p w:rsidR="0087536D" w:rsidRPr="0087536D" w:rsidRDefault="0087536D" w:rsidP="0087536D">
      <w:r w:rsidRPr="0087536D">
        <w:t xml:space="preserve">Af revisionspåtegning for </w:t>
      </w:r>
      <w:r w:rsidR="00FA735C">
        <w:t>perioden 1. januar 2020-31. december 2020</w:t>
      </w:r>
      <w:r w:rsidRPr="0087536D">
        <w:t xml:space="preserve"> er der ingen kritiske bemærkninger til driftsregnskabet. Det er revisionens opfattelse, at årsregnskabet viser et retvisende billede af boligorganisationens aktiver, passiver og resultat for regnskabsperioden. Årsregnskabet har ikke givet revisionen adgang til forbehold.</w:t>
      </w:r>
    </w:p>
    <w:p w:rsidR="0087536D" w:rsidRDefault="0087536D" w:rsidP="0087536D"/>
    <w:p w:rsidR="0087536D" w:rsidRDefault="0087536D" w:rsidP="0087536D">
      <w:r w:rsidRPr="0087536D">
        <w:t xml:space="preserve">Kommunen har fået årsregnskabet til kritisk gennemgang, og skal i den forbindelse påse, at boligorganisationens og dens afdelingers drift og økonomi er forsvarligt, jf. driftsbekendtgørelsens § 116. </w:t>
      </w:r>
    </w:p>
    <w:p w:rsidR="00E46788" w:rsidRDefault="00E46788" w:rsidP="0087536D"/>
    <w:p w:rsidR="00E46788" w:rsidRDefault="00E46788" w:rsidP="0087536D">
      <w:r>
        <w:t>Boligorganisationen har fokus på, at henlæggelsesniveauet svarer til 3 års forbrug af planlagt- og periodisk vedligeholdelse og fornyelse.</w:t>
      </w:r>
    </w:p>
    <w:p w:rsidR="00E04EAE" w:rsidRDefault="00E04EAE" w:rsidP="0087536D"/>
    <w:p w:rsidR="00E04EAE" w:rsidRPr="00E46788" w:rsidRDefault="00E04EAE" w:rsidP="0087536D">
      <w:pPr>
        <w:rPr>
          <w:color w:val="000000" w:themeColor="text1"/>
        </w:rPr>
      </w:pPr>
      <w:r w:rsidRPr="00E46788">
        <w:rPr>
          <w:color w:val="000000" w:themeColor="text1"/>
        </w:rPr>
        <w:t xml:space="preserve">Der er </w:t>
      </w:r>
      <w:r w:rsidR="005B410E" w:rsidRPr="00E46788">
        <w:rPr>
          <w:color w:val="000000" w:themeColor="text1"/>
        </w:rPr>
        <w:t>sket en forøgelse af indbetaling til arbejdskapitalen og dispositi</w:t>
      </w:r>
      <w:r w:rsidR="001951EF">
        <w:rPr>
          <w:color w:val="000000" w:themeColor="text1"/>
        </w:rPr>
        <w:t>onsfonden fra år 2019 til 2020.</w:t>
      </w:r>
    </w:p>
    <w:p w:rsidR="00E46788" w:rsidRPr="00E46788" w:rsidRDefault="00E46788" w:rsidP="0087536D">
      <w:pPr>
        <w:rPr>
          <w:color w:val="000000" w:themeColor="text1"/>
        </w:rPr>
      </w:pPr>
    </w:p>
    <w:p w:rsidR="005B410E" w:rsidRDefault="00E46788" w:rsidP="0087536D">
      <w:pPr>
        <w:rPr>
          <w:color w:val="000000" w:themeColor="text1"/>
        </w:rPr>
      </w:pPr>
      <w:r w:rsidRPr="00E46788">
        <w:rPr>
          <w:color w:val="000000" w:themeColor="text1"/>
        </w:rPr>
        <w:lastRenderedPageBreak/>
        <w:t xml:space="preserve">Administrativbidraget er faldet siden sidste regnskabsperiode, men ligger stadig over </w:t>
      </w:r>
      <w:proofErr w:type="spellStart"/>
      <w:r w:rsidRPr="00E46788">
        <w:rPr>
          <w:color w:val="000000" w:themeColor="text1"/>
        </w:rPr>
        <w:t>benchmark</w:t>
      </w:r>
      <w:proofErr w:type="spellEnd"/>
      <w:r w:rsidR="001951EF">
        <w:rPr>
          <w:color w:val="000000" w:themeColor="text1"/>
        </w:rPr>
        <w:t>. Administrationsbidraget fastlægges på den måde, at der er et grundbeløb, og så er der mulighed for tilkøb af forskellige ydelser, som lægges oveni grundbeløbet. Fx vil en udgift en udarbejdelse af forbrugsregnskaber lægges oveni administrationsgrundbeløbet.</w:t>
      </w:r>
    </w:p>
    <w:p w:rsidR="001951EF" w:rsidRDefault="001951EF" w:rsidP="0087536D">
      <w:pPr>
        <w:rPr>
          <w:color w:val="FF0000"/>
        </w:rPr>
      </w:pPr>
    </w:p>
    <w:p w:rsidR="001951EF" w:rsidRPr="0006181C" w:rsidRDefault="001951EF" w:rsidP="0087536D">
      <w:pPr>
        <w:rPr>
          <w:color w:val="000000" w:themeColor="text1"/>
        </w:rPr>
      </w:pPr>
      <w:r w:rsidRPr="0006181C">
        <w:rPr>
          <w:color w:val="000000" w:themeColor="text1"/>
        </w:rPr>
        <w:t xml:space="preserve">Det opsamlede resultat lægges over i arbejdskapitalen og anvendes til vedligeholdelse. </w:t>
      </w:r>
    </w:p>
    <w:p w:rsidR="001951EF" w:rsidRPr="0006181C" w:rsidRDefault="001951EF" w:rsidP="0087536D">
      <w:pPr>
        <w:rPr>
          <w:color w:val="000000" w:themeColor="text1"/>
        </w:rPr>
      </w:pPr>
    </w:p>
    <w:p w:rsidR="005B410E" w:rsidRPr="0006181C" w:rsidRDefault="00F45AAD" w:rsidP="0087536D">
      <w:pPr>
        <w:rPr>
          <w:color w:val="000000" w:themeColor="text1"/>
        </w:rPr>
      </w:pPr>
      <w:r w:rsidRPr="0006181C">
        <w:rPr>
          <w:color w:val="000000" w:themeColor="text1"/>
        </w:rPr>
        <w:t>Der skal foreta</w:t>
      </w:r>
      <w:r w:rsidR="001951EF" w:rsidRPr="0006181C">
        <w:rPr>
          <w:color w:val="000000" w:themeColor="text1"/>
        </w:rPr>
        <w:t xml:space="preserve">ges en ekstern granskning af </w:t>
      </w:r>
      <w:r w:rsidRPr="0006181C">
        <w:rPr>
          <w:color w:val="000000" w:themeColor="text1"/>
        </w:rPr>
        <w:t>vedligeholdelsesplaner</w:t>
      </w:r>
      <w:r w:rsidR="001951EF" w:rsidRPr="0006181C">
        <w:rPr>
          <w:color w:val="000000" w:themeColor="text1"/>
        </w:rPr>
        <w:t>ne</w:t>
      </w:r>
      <w:r w:rsidRPr="0006181C">
        <w:rPr>
          <w:color w:val="000000" w:themeColor="text1"/>
        </w:rPr>
        <w:t>, og La</w:t>
      </w:r>
      <w:r w:rsidR="001951EF" w:rsidRPr="0006181C">
        <w:rPr>
          <w:color w:val="000000" w:themeColor="text1"/>
        </w:rPr>
        <w:t>ndsbyggefonden er først kommet med en melding</w:t>
      </w:r>
      <w:r w:rsidRPr="0006181C">
        <w:rPr>
          <w:color w:val="000000" w:themeColor="text1"/>
        </w:rPr>
        <w:t xml:space="preserve"> o</w:t>
      </w:r>
      <w:r w:rsidR="001951EF" w:rsidRPr="0006181C">
        <w:rPr>
          <w:color w:val="000000" w:themeColor="text1"/>
        </w:rPr>
        <w:t xml:space="preserve">m, at SØB først er udtaget til </w:t>
      </w:r>
      <w:r w:rsidRPr="0006181C">
        <w:rPr>
          <w:color w:val="000000" w:themeColor="text1"/>
        </w:rPr>
        <w:t xml:space="preserve">2023. Boligselskabet </w:t>
      </w:r>
      <w:r w:rsidR="001951EF" w:rsidRPr="0006181C">
        <w:rPr>
          <w:color w:val="000000" w:themeColor="text1"/>
        </w:rPr>
        <w:t xml:space="preserve">mener, at det er der for længe til, så boligselskabet vil selv indhente ekstern konsulent til at gennemgå planerne. </w:t>
      </w:r>
    </w:p>
    <w:p w:rsidR="0087536D" w:rsidRDefault="0087536D" w:rsidP="0087536D">
      <w:pPr>
        <w:rPr>
          <w:u w:val="single"/>
        </w:rPr>
      </w:pPr>
    </w:p>
    <w:p w:rsidR="0087536D" w:rsidRPr="0087536D" w:rsidRDefault="0087536D" w:rsidP="0087536D">
      <w:pPr>
        <w:rPr>
          <w:b/>
        </w:rPr>
      </w:pPr>
      <w:r>
        <w:rPr>
          <w:b/>
        </w:rPr>
        <w:t xml:space="preserve">Effektivitetstal  </w:t>
      </w:r>
    </w:p>
    <w:p w:rsidR="0087536D" w:rsidRPr="0087536D" w:rsidRDefault="0087536D" w:rsidP="0087536D">
      <w:r w:rsidRPr="0087536D">
        <w:t xml:space="preserve">Driftsbekendtgørelsen indebærer bl.a., at boligorganisationen skal gennemføre løbende kontrol med henblik på at øge sparsommelighed, produktivitet og effektivitet. I dokumentationspakken er der målinger for effektivitetspotentiale. Effektivitetsmåling sker ved, at sammenligne afdelingen med andre ”tvilling-afdelinger”. Sammenligningen mellem afdelingen og tvilling-afdelingen sker ud fra udvalgte driftskonti. </w:t>
      </w:r>
    </w:p>
    <w:p w:rsidR="0087536D" w:rsidRPr="0087536D" w:rsidRDefault="0087536D" w:rsidP="0087536D"/>
    <w:p w:rsidR="0087536D" w:rsidRDefault="0087536D" w:rsidP="0087536D">
      <w:r w:rsidRPr="0087536D">
        <w:t>Ifølge dokumentationspakken ligger effektiviteten for regionen på 79,1 % mens den for</w:t>
      </w:r>
      <w:r w:rsidRPr="0087536D">
        <w:rPr>
          <w:b/>
        </w:rPr>
        <w:t xml:space="preserve"> </w:t>
      </w:r>
      <w:r w:rsidR="00916FB3">
        <w:t>Stenløse-Ølstykke Boligforening er 78,5</w:t>
      </w:r>
      <w:r w:rsidRPr="0087536D">
        <w:t>%. Effektivitet fordeles efter farven rød, gul og grøn.</w:t>
      </w:r>
    </w:p>
    <w:p w:rsidR="00916FB3" w:rsidRDefault="00916FB3" w:rsidP="0087536D"/>
    <w:p w:rsidR="00916FB3" w:rsidRDefault="00916FB3" w:rsidP="0087536D">
      <w:r>
        <w:t>Boligforeningens afdelinger inddeles i farverne således, at 3 afdelinger har farven rød, 14 afdelinger har farven gul og 3 afdelinger har farven grøn.</w:t>
      </w:r>
    </w:p>
    <w:p w:rsidR="001951EF" w:rsidRDefault="001951EF" w:rsidP="001951EF"/>
    <w:p w:rsidR="001951EF" w:rsidRPr="001951EF" w:rsidRDefault="001951EF" w:rsidP="001951EF">
      <w:r w:rsidRPr="001951EF">
        <w:t xml:space="preserve">På spørgsmålet om, hvad boligselskabet vil gøre for at effektivere driften på de røde afdelinger – også i lyset af ny aftale om, at der frem til år 2026 skal spares yderligere i den almene sektor – oplyser boligselskabet, at de ikke mener, at effektivitetstallene fra Landsbyggefonden viser et retvisende billede af afdelingen. </w:t>
      </w:r>
    </w:p>
    <w:p w:rsidR="001951EF" w:rsidRPr="001951EF" w:rsidRDefault="001951EF" w:rsidP="001951EF">
      <w:r w:rsidRPr="001951EF">
        <w:t xml:space="preserve">Landsbyggefondens tal tager udgangspunkt i 7 konti, og KAB mener, at der mangler en omregner af kontiene. </w:t>
      </w:r>
      <w:r>
        <w:t xml:space="preserve">Eksempelvis har afdeling 19 farven grøn, dog har boligforeningen indskudt millioner ind for at afdelingen netop kunne køre rundt. </w:t>
      </w:r>
    </w:p>
    <w:p w:rsidR="00E85667" w:rsidRDefault="00E85667" w:rsidP="0087536D">
      <w:pPr>
        <w:rPr>
          <w:color w:val="FF0000"/>
        </w:rPr>
      </w:pPr>
    </w:p>
    <w:p w:rsidR="00E85667" w:rsidRPr="00916FB3" w:rsidRDefault="00E85667" w:rsidP="0087536D">
      <w:pPr>
        <w:rPr>
          <w:color w:val="FF0000"/>
        </w:rPr>
      </w:pPr>
      <w:r w:rsidRPr="00E85667">
        <w:rPr>
          <w:color w:val="000000" w:themeColor="text1"/>
        </w:rPr>
        <w:t xml:space="preserve">I dokumentationspakken anfører boligforeningen, at rækkehuse er markant dyre at renholde ift. etageboligbyggeri. </w:t>
      </w:r>
      <w:r w:rsidR="00F45AAD">
        <w:rPr>
          <w:color w:val="000000" w:themeColor="text1"/>
        </w:rPr>
        <w:t xml:space="preserve">Det er </w:t>
      </w:r>
      <w:r w:rsidR="004C4184">
        <w:rPr>
          <w:color w:val="000000" w:themeColor="text1"/>
        </w:rPr>
        <w:t>udenoms arealerne</w:t>
      </w:r>
      <w:r w:rsidR="00F45AAD">
        <w:rPr>
          <w:color w:val="000000" w:themeColor="text1"/>
        </w:rPr>
        <w:t xml:space="preserve"> og renholdelse af fællesområderne, som gør, at det er dyrere. </w:t>
      </w:r>
    </w:p>
    <w:p w:rsidR="0087536D" w:rsidRDefault="0087536D" w:rsidP="0087536D">
      <w:pPr>
        <w:rPr>
          <w:b/>
        </w:rPr>
      </w:pPr>
    </w:p>
    <w:p w:rsidR="00F26073" w:rsidRDefault="00F26073" w:rsidP="0087536D">
      <w:pPr>
        <w:rPr>
          <w:b/>
        </w:rPr>
      </w:pPr>
    </w:p>
    <w:p w:rsidR="00F26073" w:rsidRDefault="00F26073" w:rsidP="0087536D">
      <w:pPr>
        <w:rPr>
          <w:b/>
        </w:rPr>
      </w:pPr>
    </w:p>
    <w:p w:rsidR="00F26073" w:rsidRDefault="00F26073" w:rsidP="0087536D">
      <w:pPr>
        <w:rPr>
          <w:b/>
        </w:rPr>
      </w:pPr>
    </w:p>
    <w:p w:rsidR="005B410E" w:rsidRDefault="0087536D" w:rsidP="0087536D">
      <w:pPr>
        <w:rPr>
          <w:b/>
        </w:rPr>
      </w:pPr>
      <w:r w:rsidRPr="0087536D">
        <w:rPr>
          <w:b/>
        </w:rPr>
        <w:lastRenderedPageBreak/>
        <w:t>Status for afdelingerne</w:t>
      </w:r>
    </w:p>
    <w:p w:rsidR="004C4184" w:rsidRDefault="00231149" w:rsidP="0087536D">
      <w:pPr>
        <w:rPr>
          <w:b/>
        </w:rPr>
      </w:pPr>
      <w:r w:rsidRPr="00495EA1">
        <w:rPr>
          <w:i/>
        </w:rPr>
        <w:t>Afdeling 8, Stengården</w:t>
      </w:r>
      <w:r w:rsidRPr="00E46788">
        <w:t>:</w:t>
      </w:r>
      <w:r>
        <w:rPr>
          <w:b/>
        </w:rPr>
        <w:t xml:space="preserve"> </w:t>
      </w:r>
      <w:r w:rsidRPr="00231149">
        <w:t>Boligorganisati</w:t>
      </w:r>
      <w:r w:rsidR="004C4184">
        <w:t>onen har valgt ikke at arbejde</w:t>
      </w:r>
      <w:r w:rsidRPr="00231149">
        <w:t xml:space="preserve"> videre med intelligente tage, idet Landsbyggefond</w:t>
      </w:r>
      <w:r w:rsidR="004C4184">
        <w:t>en ændrede boligorganisationens</w:t>
      </w:r>
      <w:r w:rsidRPr="00231149">
        <w:t xml:space="preserve"> medfinansiering fra 13,5 mio. kr. til 33,9 mio. kr.</w:t>
      </w:r>
      <w:r>
        <w:rPr>
          <w:b/>
        </w:rPr>
        <w:t xml:space="preserve">  </w:t>
      </w:r>
    </w:p>
    <w:p w:rsidR="00495EA1" w:rsidRPr="00495EA1" w:rsidRDefault="004C4184" w:rsidP="0087536D">
      <w:r w:rsidRPr="00495EA1">
        <w:t>Indberetning af skema B skulle have været sket i april 2021, og Egedal Kommune har gentagne gange henvendt sig til KAB for at høre status på skema B. Landsbyggefonden har også forsøgt at kontakte KAB ad flere omgange, men desværre er KAB ikke vendt tilbage. Dette er kommunen utilfreds med, og beder boligselskabet v/KAB om at sende e</w:t>
      </w:r>
      <w:r w:rsidR="00495EA1" w:rsidRPr="00495EA1">
        <w:t xml:space="preserve">n skrivelse herom således, der kan forelægges en orienteringssag om bortfald af tilsagn om renovering til Byrådet. </w:t>
      </w:r>
    </w:p>
    <w:p w:rsidR="00231149" w:rsidRDefault="00231149" w:rsidP="0087536D">
      <w:pPr>
        <w:rPr>
          <w:b/>
        </w:rPr>
      </w:pPr>
    </w:p>
    <w:p w:rsidR="005B410E" w:rsidRPr="005B410E" w:rsidRDefault="005B410E" w:rsidP="0087536D">
      <w:r w:rsidRPr="00495EA1">
        <w:rPr>
          <w:i/>
        </w:rPr>
        <w:t>Afdeling 7, Stengården</w:t>
      </w:r>
      <w:r w:rsidRPr="005B410E">
        <w:t>: Badeværelser er</w:t>
      </w:r>
      <w:r w:rsidR="00745FC4">
        <w:t xml:space="preserve"> i dårlige stand, og der blev p</w:t>
      </w:r>
      <w:r w:rsidRPr="005B410E">
        <w:t xml:space="preserve">å et afdelingsmøde februar 2019 godkendt finansiering til udskiftning ag badeværelser. </w:t>
      </w:r>
      <w:r w:rsidR="00985A1D" w:rsidRPr="0006181C">
        <w:rPr>
          <w:color w:val="000000" w:themeColor="text1"/>
        </w:rPr>
        <w:t xml:space="preserve">Badeværelserne </w:t>
      </w:r>
      <w:r w:rsidR="00495EA1" w:rsidRPr="0006181C">
        <w:rPr>
          <w:color w:val="000000" w:themeColor="text1"/>
        </w:rPr>
        <w:t>forventes at blive udskiftet slutning af 2021</w:t>
      </w:r>
      <w:r w:rsidR="00985A1D" w:rsidRPr="0006181C">
        <w:rPr>
          <w:color w:val="000000" w:themeColor="text1"/>
        </w:rPr>
        <w:t xml:space="preserve">. </w:t>
      </w:r>
    </w:p>
    <w:p w:rsidR="005B410E" w:rsidRPr="005B410E" w:rsidRDefault="005B410E" w:rsidP="0087536D"/>
    <w:p w:rsidR="005B410E" w:rsidRPr="005B410E" w:rsidRDefault="005B410E" w:rsidP="0087536D">
      <w:r w:rsidRPr="00495EA1">
        <w:rPr>
          <w:i/>
        </w:rPr>
        <w:t>Afdeling 5 og 6, Boelholm</w:t>
      </w:r>
      <w:r w:rsidRPr="005B410E">
        <w:t>: På et ekstraordinært møde i hver af afdelingerne er det blevet besluttet a</w:t>
      </w:r>
      <w:r w:rsidR="00495EA1">
        <w:t>t finansiere nye badeværelser. U</w:t>
      </w:r>
      <w:r w:rsidRPr="005B410E">
        <w:t xml:space="preserve">dskiftning forventes sket i 2023. </w:t>
      </w:r>
    </w:p>
    <w:p w:rsidR="005B410E" w:rsidRPr="005B410E" w:rsidRDefault="005B410E" w:rsidP="0087536D"/>
    <w:p w:rsidR="005B410E" w:rsidRPr="00495EA1" w:rsidRDefault="005B410E" w:rsidP="0087536D">
      <w:pPr>
        <w:rPr>
          <w:color w:val="000000" w:themeColor="text1"/>
        </w:rPr>
      </w:pPr>
      <w:r w:rsidRPr="00495EA1">
        <w:rPr>
          <w:i/>
        </w:rPr>
        <w:t>Afdeling 24, Teglværksparken</w:t>
      </w:r>
      <w:r w:rsidRPr="005B410E">
        <w:t xml:space="preserve">: Efter anvendelse af </w:t>
      </w:r>
      <w:proofErr w:type="spellStart"/>
      <w:r w:rsidRPr="005B410E">
        <w:t>call</w:t>
      </w:r>
      <w:proofErr w:type="spellEnd"/>
      <w:r w:rsidRPr="005B410E">
        <w:t>-in bestemmelsen forventes udskiftning af tag gennemfø</w:t>
      </w:r>
      <w:r w:rsidR="00AC5466">
        <w:t xml:space="preserve">rt i 2021. </w:t>
      </w:r>
      <w:r w:rsidR="00AC5466" w:rsidRPr="00495EA1">
        <w:rPr>
          <w:color w:val="000000" w:themeColor="text1"/>
        </w:rPr>
        <w:t>Første følgemøde startes op den 4. november</w:t>
      </w:r>
      <w:r w:rsidR="00CE71E2">
        <w:rPr>
          <w:color w:val="000000" w:themeColor="text1"/>
        </w:rPr>
        <w:t xml:space="preserve"> 2022</w:t>
      </w:r>
      <w:r w:rsidR="00AC5466" w:rsidRPr="00495EA1">
        <w:rPr>
          <w:color w:val="000000" w:themeColor="text1"/>
        </w:rPr>
        <w:t>, og beboerne skal senere informeres om, hvad status er, og hv</w:t>
      </w:r>
      <w:r w:rsidR="00495EA1" w:rsidRPr="00495EA1">
        <w:rPr>
          <w:color w:val="000000" w:themeColor="text1"/>
        </w:rPr>
        <w:t xml:space="preserve">ornår arbejdet forventes udført. </w:t>
      </w:r>
    </w:p>
    <w:p w:rsidR="005B410E" w:rsidRDefault="005B410E" w:rsidP="0087536D"/>
    <w:p w:rsidR="00E81595" w:rsidRDefault="005B410E" w:rsidP="0087536D">
      <w:r w:rsidRPr="00495EA1">
        <w:rPr>
          <w:i/>
        </w:rPr>
        <w:t xml:space="preserve">Afdeling 1, 2 og 3, </w:t>
      </w:r>
      <w:proofErr w:type="spellStart"/>
      <w:r w:rsidRPr="00495EA1">
        <w:rPr>
          <w:i/>
        </w:rPr>
        <w:t>Stenløsebo</w:t>
      </w:r>
      <w:proofErr w:type="spellEnd"/>
      <w:r w:rsidRPr="00495EA1">
        <w:rPr>
          <w:i/>
        </w:rPr>
        <w:t>, Vestervang og Halkær</w:t>
      </w:r>
      <w:r>
        <w:t xml:space="preserve">: </w:t>
      </w:r>
      <w:r w:rsidR="003116FD">
        <w:t>Afdelingerne skal gøres tidssvarende, idet</w:t>
      </w:r>
      <w:r w:rsidR="00745FC4">
        <w:t xml:space="preserve"> el-</w:t>
      </w:r>
      <w:proofErr w:type="spellStart"/>
      <w:r w:rsidR="00745FC4">
        <w:t>insstallationer</w:t>
      </w:r>
      <w:proofErr w:type="spellEnd"/>
      <w:r w:rsidR="00745FC4">
        <w:t xml:space="preserve"> og kloakker</w:t>
      </w:r>
      <w:r w:rsidR="003116FD">
        <w:t xml:space="preserve"> er gamle. Der vil blive anvendt midler fra dispositionsfonden. </w:t>
      </w:r>
    </w:p>
    <w:p w:rsidR="00AC5466" w:rsidRDefault="00AC5466" w:rsidP="0087536D"/>
    <w:p w:rsidR="00E81595" w:rsidRDefault="00745FC4" w:rsidP="0087536D">
      <w:pPr>
        <w:rPr>
          <w:color w:val="FF0000"/>
        </w:rPr>
      </w:pPr>
      <w:r w:rsidRPr="00495EA1">
        <w:rPr>
          <w:i/>
        </w:rPr>
        <w:t>A</w:t>
      </w:r>
      <w:r w:rsidR="00E81595" w:rsidRPr="00495EA1">
        <w:rPr>
          <w:i/>
        </w:rPr>
        <w:t xml:space="preserve">fdeling </w:t>
      </w:r>
      <w:proofErr w:type="spellStart"/>
      <w:r w:rsidR="00E81595" w:rsidRPr="00495EA1">
        <w:rPr>
          <w:i/>
        </w:rPr>
        <w:t>Fortehusene</w:t>
      </w:r>
      <w:proofErr w:type="spellEnd"/>
      <w:r w:rsidR="00E81595">
        <w:t xml:space="preserve">: Der </w:t>
      </w:r>
      <w:r w:rsidR="00AC5466">
        <w:t>forventes udskiftning af</w:t>
      </w:r>
      <w:r w:rsidR="00E81595">
        <w:t xml:space="preserve"> vin</w:t>
      </w:r>
      <w:r w:rsidR="00AC5466">
        <w:t>duer samt ekstra nedløb i løbet af 2022. De har taget lån af dispositionsfonden og afdelingen har anvendt egne henlæggelse</w:t>
      </w:r>
      <w:r w:rsidR="00495EA1">
        <w:t>r</w:t>
      </w:r>
      <w:r w:rsidR="00AC5466">
        <w:t xml:space="preserve">. Der </w:t>
      </w:r>
      <w:r w:rsidR="00495EA1">
        <w:t xml:space="preserve">vil derfor ikke være en </w:t>
      </w:r>
      <w:r w:rsidR="00AC5466">
        <w:t xml:space="preserve">huslejestigning. </w:t>
      </w:r>
    </w:p>
    <w:p w:rsidR="00E85667" w:rsidRPr="0087536D" w:rsidRDefault="00E85667" w:rsidP="0087536D">
      <w:pPr>
        <w:rPr>
          <w:b/>
        </w:rPr>
      </w:pPr>
    </w:p>
    <w:p w:rsidR="0087536D" w:rsidRDefault="0087536D" w:rsidP="0087536D">
      <w:pPr>
        <w:rPr>
          <w:b/>
        </w:rPr>
      </w:pPr>
      <w:r w:rsidRPr="0087536D">
        <w:rPr>
          <w:b/>
        </w:rPr>
        <w:t xml:space="preserve">Boligselskabets fokuspunkter </w:t>
      </w:r>
    </w:p>
    <w:p w:rsidR="0006181C" w:rsidRPr="0006181C" w:rsidRDefault="0006181C" w:rsidP="0006181C">
      <w:pPr>
        <w:rPr>
          <w:color w:val="000000" w:themeColor="text1"/>
        </w:rPr>
      </w:pPr>
      <w:r w:rsidRPr="0006181C">
        <w:rPr>
          <w:color w:val="000000" w:themeColor="text1"/>
        </w:rPr>
        <w:t xml:space="preserve">I forbindelse med, at boligselskabet gerne vil være en del af ”Vild med vilje” er det en tung økonomisk byrde for boligselskabet, såfremt der til ansøgning om dispensation fra lokalplanen skal laves mål og tegninger. Spørgsmål om, hvorvidt processen kan gøres lettere er videresendt til kommunens plan-afdeling. </w:t>
      </w:r>
    </w:p>
    <w:p w:rsidR="00793F5A" w:rsidRDefault="00793F5A" w:rsidP="0087536D">
      <w:pPr>
        <w:rPr>
          <w:b/>
        </w:rPr>
      </w:pPr>
    </w:p>
    <w:p w:rsidR="0087536D" w:rsidRPr="0087536D" w:rsidRDefault="0087536D" w:rsidP="0087536D">
      <w:pPr>
        <w:rPr>
          <w:b/>
        </w:rPr>
      </w:pPr>
      <w:r w:rsidRPr="0087536D">
        <w:rPr>
          <w:b/>
        </w:rPr>
        <w:t>Beboerdemokratiet</w:t>
      </w:r>
    </w:p>
    <w:p w:rsidR="00E85667" w:rsidRPr="00272B65" w:rsidRDefault="00272B65" w:rsidP="00462165">
      <w:r w:rsidRPr="00272B65">
        <w:t xml:space="preserve">I afdeling 12, 13, 19 og 24 er der ikke afdelingsbestyrelsen, så organisationsbestyrelsen træder ind i stedet. </w:t>
      </w:r>
    </w:p>
    <w:p w:rsidR="00272B65" w:rsidRPr="00272B65" w:rsidRDefault="00272B65" w:rsidP="00462165"/>
    <w:p w:rsidR="00272B65" w:rsidRPr="00272B65" w:rsidRDefault="00272B65" w:rsidP="00462165">
      <w:r w:rsidRPr="00272B65">
        <w:t xml:space="preserve">Tilslutning til afdelingsmøderne er der ikke mange. Der er forsøgt at trække flere beboere, men der ses ikke en større tilslutning. </w:t>
      </w:r>
    </w:p>
    <w:p w:rsidR="00272B65" w:rsidRDefault="00272B65" w:rsidP="00462165">
      <w:pPr>
        <w:rPr>
          <w:b/>
        </w:rPr>
      </w:pPr>
    </w:p>
    <w:p w:rsidR="0087536D" w:rsidRDefault="0087536D" w:rsidP="00462165">
      <w:pPr>
        <w:rPr>
          <w:b/>
        </w:rPr>
      </w:pPr>
      <w:r w:rsidRPr="0087536D">
        <w:rPr>
          <w:b/>
        </w:rPr>
        <w:lastRenderedPageBreak/>
        <w:t>Udlejning</w:t>
      </w:r>
    </w:p>
    <w:p w:rsidR="00E46788" w:rsidRPr="00A53CFE" w:rsidRDefault="00E85667" w:rsidP="00462165">
      <w:pPr>
        <w:rPr>
          <w:color w:val="000000" w:themeColor="text1"/>
        </w:rPr>
      </w:pPr>
      <w:r>
        <w:t>Ifølge dokumentationspakken fordeler udlejningen af familieboliger således, at 41,25% af boligerne går til dem på en venteliste, 8,75% er kommunal anvisning og 50% af de ledige boliger går til folk på den fleksible udlejningsaftale</w:t>
      </w:r>
      <w:r w:rsidRPr="00A53CFE">
        <w:rPr>
          <w:color w:val="000000" w:themeColor="text1"/>
        </w:rPr>
        <w:t xml:space="preserve">. </w:t>
      </w:r>
      <w:r w:rsidR="00272B65" w:rsidRPr="00A53CFE">
        <w:rPr>
          <w:color w:val="000000" w:themeColor="text1"/>
        </w:rPr>
        <w:t>På spørgsmål om, hvorfor kommunens andel er så</w:t>
      </w:r>
      <w:r w:rsidR="00CE71E2" w:rsidRPr="00A53CFE">
        <w:rPr>
          <w:color w:val="000000" w:themeColor="text1"/>
        </w:rPr>
        <w:t xml:space="preserve"> lidt, svarer Boligselskabet</w:t>
      </w:r>
      <w:r w:rsidR="00272B65" w:rsidRPr="00A53CFE">
        <w:rPr>
          <w:color w:val="000000" w:themeColor="text1"/>
        </w:rPr>
        <w:t xml:space="preserve">, at </w:t>
      </w:r>
      <w:r w:rsidR="00CE71E2" w:rsidRPr="00A53CFE">
        <w:rPr>
          <w:color w:val="000000" w:themeColor="text1"/>
        </w:rPr>
        <w:t xml:space="preserve">kommunen takker nej til de anviste boliger, fordi de er for dyre. </w:t>
      </w:r>
    </w:p>
    <w:p w:rsidR="0006181C" w:rsidRPr="0006181C" w:rsidRDefault="0006181C" w:rsidP="00462165">
      <w:pPr>
        <w:rPr>
          <w:color w:val="000000" w:themeColor="text1"/>
        </w:rPr>
      </w:pPr>
    </w:p>
    <w:p w:rsidR="00E46788" w:rsidRPr="0006181C" w:rsidRDefault="0006181C" w:rsidP="00462165">
      <w:pPr>
        <w:rPr>
          <w:color w:val="000000" w:themeColor="text1"/>
        </w:rPr>
      </w:pPr>
      <w:r w:rsidRPr="0006181C">
        <w:rPr>
          <w:color w:val="000000" w:themeColor="text1"/>
        </w:rPr>
        <w:t xml:space="preserve">I styringsrapporten for </w:t>
      </w:r>
      <w:r w:rsidR="00E46788" w:rsidRPr="0006181C">
        <w:rPr>
          <w:color w:val="000000" w:themeColor="text1"/>
        </w:rPr>
        <w:t>afdeling Stenløse-Syd er der en rød markering vedr. fraflytning</w:t>
      </w:r>
      <w:r w:rsidR="00272B65" w:rsidRPr="0006181C">
        <w:rPr>
          <w:color w:val="000000" w:themeColor="text1"/>
        </w:rPr>
        <w:t>. Udfordringen er, at de</w:t>
      </w:r>
      <w:r w:rsidRPr="0006181C">
        <w:rPr>
          <w:color w:val="000000" w:themeColor="text1"/>
        </w:rPr>
        <w:t>t er</w:t>
      </w:r>
      <w:r w:rsidR="00272B65" w:rsidRPr="0006181C">
        <w:rPr>
          <w:color w:val="000000" w:themeColor="text1"/>
        </w:rPr>
        <w:t xml:space="preserve"> 3-værelses boliger </w:t>
      </w:r>
      <w:r w:rsidRPr="0006181C">
        <w:rPr>
          <w:color w:val="000000" w:themeColor="text1"/>
        </w:rPr>
        <w:t xml:space="preserve">med en høj husleje, og indskuddet er også højt. </w:t>
      </w:r>
      <w:r w:rsidR="00272B65" w:rsidRPr="0006181C">
        <w:rPr>
          <w:color w:val="000000" w:themeColor="text1"/>
        </w:rPr>
        <w:t xml:space="preserve">Lejerne skal desuden selv medbringe hårde hvidvare. </w:t>
      </w:r>
      <w:r w:rsidR="00E46788" w:rsidRPr="0006181C">
        <w:rPr>
          <w:color w:val="000000" w:themeColor="text1"/>
        </w:rPr>
        <w:t xml:space="preserve"> </w:t>
      </w:r>
    </w:p>
    <w:p w:rsidR="00E85667" w:rsidRPr="00E85667" w:rsidRDefault="00E85667" w:rsidP="00462165"/>
    <w:p w:rsidR="0087536D" w:rsidRDefault="0087536D" w:rsidP="0087536D">
      <w:pPr>
        <w:rPr>
          <w:b/>
        </w:rPr>
      </w:pPr>
      <w:r w:rsidRPr="0087536D">
        <w:rPr>
          <w:b/>
        </w:rPr>
        <w:t>Evaluering af mål og resultater</w:t>
      </w:r>
    </w:p>
    <w:p w:rsidR="00A70F4F" w:rsidRPr="00E70E14" w:rsidRDefault="00E70E14" w:rsidP="0087536D">
      <w:r w:rsidRPr="00E70E14">
        <w:t>Der var ikke indgået en</w:t>
      </w:r>
      <w:r>
        <w:t xml:space="preserve"> </w:t>
      </w:r>
      <w:r w:rsidRPr="00E70E14">
        <w:t xml:space="preserve">aftale sidste år. </w:t>
      </w:r>
    </w:p>
    <w:p w:rsidR="00E70E14" w:rsidRDefault="00E70E14" w:rsidP="0087536D">
      <w:pPr>
        <w:rPr>
          <w:b/>
        </w:rPr>
      </w:pPr>
    </w:p>
    <w:p w:rsidR="0087536D" w:rsidRDefault="0087536D" w:rsidP="0087536D">
      <w:pPr>
        <w:rPr>
          <w:b/>
        </w:rPr>
      </w:pPr>
      <w:r w:rsidRPr="0087536D">
        <w:rPr>
          <w:b/>
        </w:rPr>
        <w:t xml:space="preserve">Næste års styringsdialogmøde </w:t>
      </w:r>
    </w:p>
    <w:p w:rsidR="00A70F4F" w:rsidRPr="0006181C" w:rsidRDefault="00E70E14" w:rsidP="0087536D">
      <w:pPr>
        <w:rPr>
          <w:color w:val="000000" w:themeColor="text1"/>
        </w:rPr>
      </w:pPr>
      <w:r w:rsidRPr="0006181C">
        <w:rPr>
          <w:color w:val="000000" w:themeColor="text1"/>
        </w:rPr>
        <w:t>Boligsel</w:t>
      </w:r>
      <w:r w:rsidR="0006181C">
        <w:rPr>
          <w:color w:val="000000" w:themeColor="text1"/>
        </w:rPr>
        <w:t>skabet har mange møder i maj/</w:t>
      </w:r>
      <w:r w:rsidRPr="0006181C">
        <w:rPr>
          <w:color w:val="000000" w:themeColor="text1"/>
        </w:rPr>
        <w:t xml:space="preserve">juni og i august/september skal der afholdes afdelingsmøder og udarbejde budgetter. Derfor er det ikke muligt at holde dialogmøde </w:t>
      </w:r>
      <w:r w:rsidR="0006181C" w:rsidRPr="0006181C">
        <w:rPr>
          <w:color w:val="000000" w:themeColor="text1"/>
        </w:rPr>
        <w:t xml:space="preserve">inden sommerferie. </w:t>
      </w:r>
    </w:p>
    <w:p w:rsidR="00B70885" w:rsidRDefault="00B70885" w:rsidP="0087536D">
      <w:pPr>
        <w:rPr>
          <w:b/>
        </w:rPr>
      </w:pPr>
    </w:p>
    <w:p w:rsidR="0087536D" w:rsidRPr="0087536D" w:rsidRDefault="0087536D" w:rsidP="0087536D">
      <w:pPr>
        <w:rPr>
          <w:b/>
        </w:rPr>
      </w:pPr>
      <w:r w:rsidRPr="0087536D">
        <w:rPr>
          <w:b/>
        </w:rPr>
        <w:t xml:space="preserve">Evt. </w:t>
      </w:r>
    </w:p>
    <w:p w:rsidR="006D1010" w:rsidRPr="0087536D" w:rsidRDefault="0006181C" w:rsidP="0087536D">
      <w:r>
        <w:t xml:space="preserve">Der var ikke noget til dette punkt. </w:t>
      </w:r>
    </w:p>
    <w:sectPr w:rsidR="006D1010" w:rsidRPr="0087536D" w:rsidSect="007B6B4F">
      <w:headerReference w:type="even" r:id="rId7"/>
      <w:headerReference w:type="default" r:id="rId8"/>
      <w:footerReference w:type="even" r:id="rId9"/>
      <w:footerReference w:type="default" r:id="rId10"/>
      <w:headerReference w:type="first" r:id="rId11"/>
      <w:footerReference w:type="first" r:id="rId12"/>
      <w:pgSz w:w="11906" w:h="16838"/>
      <w:pgMar w:top="1985" w:right="3119"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EA1" w:rsidRPr="0087536D" w:rsidRDefault="00495EA1" w:rsidP="00680B07">
      <w:pPr>
        <w:spacing w:line="240" w:lineRule="auto"/>
      </w:pPr>
      <w:r w:rsidRPr="0087536D">
        <w:separator/>
      </w:r>
    </w:p>
  </w:endnote>
  <w:endnote w:type="continuationSeparator" w:id="0">
    <w:p w:rsidR="00495EA1" w:rsidRPr="0087536D" w:rsidRDefault="00495EA1" w:rsidP="00680B07">
      <w:pPr>
        <w:spacing w:line="240" w:lineRule="auto"/>
      </w:pPr>
      <w:r w:rsidRPr="008753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A1" w:rsidRDefault="00495EA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A1" w:rsidRPr="0087536D" w:rsidRDefault="00495EA1" w:rsidP="007B6B4F">
    <w:pPr>
      <w:pStyle w:val="Sidefod"/>
      <w:tabs>
        <w:tab w:val="right" w:pos="8562"/>
      </w:tabs>
    </w:pPr>
    <w:r w:rsidRPr="0087536D">
      <w:tab/>
    </w:r>
    <w:r w:rsidRPr="0087536D">
      <w:tab/>
      <w:t xml:space="preserve">side </w:t>
    </w:r>
    <w:r w:rsidRPr="0087536D">
      <w:fldChar w:fldCharType="begin"/>
    </w:r>
    <w:r w:rsidRPr="0087536D">
      <w:instrText xml:space="preserve"> PAGE   \* MERGEFORMAT </w:instrText>
    </w:r>
    <w:r w:rsidRPr="0087536D">
      <w:fldChar w:fldCharType="separate"/>
    </w:r>
    <w:r w:rsidR="00BE1904">
      <w:rPr>
        <w:noProof/>
      </w:rPr>
      <w:t>4</w:t>
    </w:r>
    <w:r w:rsidRPr="0087536D">
      <w:fldChar w:fldCharType="end"/>
    </w:r>
    <w:r w:rsidRPr="0087536D">
      <w:t xml:space="preserve"> af </w:t>
    </w:r>
    <w:r w:rsidR="00BE1904">
      <w:fldChar w:fldCharType="begin"/>
    </w:r>
    <w:r w:rsidR="00BE1904">
      <w:instrText xml:space="preserve"> NUMPAGES   \* MERGEFORMAT </w:instrText>
    </w:r>
    <w:r w:rsidR="00BE1904">
      <w:fldChar w:fldCharType="separate"/>
    </w:r>
    <w:r w:rsidR="00BE1904">
      <w:rPr>
        <w:noProof/>
      </w:rPr>
      <w:t>4</w:t>
    </w:r>
    <w:r w:rsidR="00BE190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A1" w:rsidRPr="0087536D" w:rsidRDefault="00495EA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EA1" w:rsidRPr="0087536D" w:rsidRDefault="00495EA1" w:rsidP="00680B07">
      <w:pPr>
        <w:spacing w:line="240" w:lineRule="auto"/>
      </w:pPr>
      <w:r w:rsidRPr="0087536D">
        <w:separator/>
      </w:r>
    </w:p>
  </w:footnote>
  <w:footnote w:type="continuationSeparator" w:id="0">
    <w:p w:rsidR="00495EA1" w:rsidRPr="0087536D" w:rsidRDefault="00495EA1" w:rsidP="00680B07">
      <w:pPr>
        <w:spacing w:line="240" w:lineRule="auto"/>
      </w:pPr>
      <w:r w:rsidRPr="0087536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A1" w:rsidRDefault="00495EA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A1" w:rsidRPr="0087536D" w:rsidRDefault="00495EA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A1" w:rsidRPr="0087536D" w:rsidRDefault="00495EA1">
    <w:pPr>
      <w:pStyle w:val="Sidehoved"/>
    </w:pPr>
    <w:r>
      <w:rPr>
        <w:noProof/>
        <w:lang w:eastAsia="da-DK"/>
      </w:rPr>
      <w:drawing>
        <wp:anchor distT="0" distB="0" distL="114300" distR="114300" simplePos="0" relativeHeight="251658240" behindDoc="1" locked="0" layoutInCell="1" allowOverlap="1">
          <wp:simplePos x="0" y="0"/>
          <wp:positionH relativeFrom="page">
            <wp:posOffset>5972810</wp:posOffset>
          </wp:positionH>
          <wp:positionV relativeFrom="page">
            <wp:posOffset>269875</wp:posOffset>
          </wp:positionV>
          <wp:extent cx="1316990" cy="697865"/>
          <wp:effectExtent l="0" t="0" r="0" b="6985"/>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990" cy="6978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Notat.dotm"/>
    <w:docVar w:name="CreatedWithDtVersion" w:val="2.8.000"/>
    <w:docVar w:name="DocumentCreated" w:val="DocumentCreated"/>
    <w:docVar w:name="DocumentCreatedOK" w:val="DocumentCreatedOK"/>
    <w:docVar w:name="DocumentInitialized" w:val="OK"/>
    <w:docVar w:name="Encrypted_CloudStatistics_StoryID" w:val="AT25lMOokyaV6q1A1ZDy0clq5I2cp55ZSnpyMujydbkvQbMQLa0JsGeHjRSo5DLo"/>
    <w:docVar w:name="Encrypted_DialogFieldValue_cancelbutton" w:val="Go1BF8BBsJqqGsR1izlsvQ=="/>
    <w:docVar w:name="Encrypted_DialogFieldValue_documentdate" w:val="37br+kSatksJ7jccODVnj0mkg1BACJeZWPU6Aq+Hp7E="/>
    <w:docVar w:name="Encrypted_DialogFieldValue_finduserbutton" w:val="Go1BF8BBsJqqGsR1izlsvQ=="/>
    <w:docVar w:name="Encrypted_DialogFieldValue_okbutton" w:val="Go1BF8BBsJqqGsR1izlsvQ=="/>
    <w:docVar w:name="Encrypted_DialogFieldValue_regarding" w:val="Zt1SC1BlmhFDaoD2EgYhNZo1k75zFZIEF7azzJhUBDlUc3q2c7QIFRm+Ifoedqfx/dAuLnjOXCWGXuv8ivlY2Q=="/>
    <w:docVar w:name="Encrypted_DialogFieldValue_showlocalprofiles" w:val="jdVW2FK8uI0YHzTHPTEY1w=="/>
    <w:docVar w:name="Encrypted_DialogFieldValue_shownetworkprofiles" w:val="Go1BF8BBsJqqGsR1izlsvQ=="/>
    <w:docVar w:name="Encrypted_DocHeader" w:val="Q0XWo4GJBJiTS2GAZn+orA=="/>
    <w:docVar w:name="IntegrationType" w:val="StandAlone"/>
  </w:docVars>
  <w:rsids>
    <w:rsidRoot w:val="0087536D"/>
    <w:rsid w:val="00046161"/>
    <w:rsid w:val="0006181C"/>
    <w:rsid w:val="00062C56"/>
    <w:rsid w:val="000C7C08"/>
    <w:rsid w:val="000E7624"/>
    <w:rsid w:val="00112529"/>
    <w:rsid w:val="00114283"/>
    <w:rsid w:val="00155502"/>
    <w:rsid w:val="001951EF"/>
    <w:rsid w:val="001A449E"/>
    <w:rsid w:val="00231149"/>
    <w:rsid w:val="00272B65"/>
    <w:rsid w:val="003116FD"/>
    <w:rsid w:val="003956D8"/>
    <w:rsid w:val="00462165"/>
    <w:rsid w:val="00495EA1"/>
    <w:rsid w:val="004C4184"/>
    <w:rsid w:val="00575356"/>
    <w:rsid w:val="00577476"/>
    <w:rsid w:val="005B410E"/>
    <w:rsid w:val="005C3982"/>
    <w:rsid w:val="005E0DE7"/>
    <w:rsid w:val="005E193C"/>
    <w:rsid w:val="005F2586"/>
    <w:rsid w:val="00626701"/>
    <w:rsid w:val="00680B07"/>
    <w:rsid w:val="00681443"/>
    <w:rsid w:val="006826E0"/>
    <w:rsid w:val="006C7669"/>
    <w:rsid w:val="006D1010"/>
    <w:rsid w:val="006F3579"/>
    <w:rsid w:val="006F4C45"/>
    <w:rsid w:val="00715A23"/>
    <w:rsid w:val="00720089"/>
    <w:rsid w:val="00726032"/>
    <w:rsid w:val="00745FC4"/>
    <w:rsid w:val="00784339"/>
    <w:rsid w:val="00793F5A"/>
    <w:rsid w:val="007A1295"/>
    <w:rsid w:val="007A24E9"/>
    <w:rsid w:val="007B6B4F"/>
    <w:rsid w:val="007C778C"/>
    <w:rsid w:val="0087536D"/>
    <w:rsid w:val="008E4B12"/>
    <w:rsid w:val="00912D17"/>
    <w:rsid w:val="00916FB3"/>
    <w:rsid w:val="00971B4B"/>
    <w:rsid w:val="00985A1D"/>
    <w:rsid w:val="009E601E"/>
    <w:rsid w:val="00A13A07"/>
    <w:rsid w:val="00A15FC0"/>
    <w:rsid w:val="00A53CFE"/>
    <w:rsid w:val="00A70F4F"/>
    <w:rsid w:val="00A720B6"/>
    <w:rsid w:val="00AA3621"/>
    <w:rsid w:val="00AC45DE"/>
    <w:rsid w:val="00AC5466"/>
    <w:rsid w:val="00AF1277"/>
    <w:rsid w:val="00B66298"/>
    <w:rsid w:val="00B70885"/>
    <w:rsid w:val="00BE1904"/>
    <w:rsid w:val="00BE68D7"/>
    <w:rsid w:val="00C02744"/>
    <w:rsid w:val="00C12767"/>
    <w:rsid w:val="00C27081"/>
    <w:rsid w:val="00CE71E2"/>
    <w:rsid w:val="00CE78F5"/>
    <w:rsid w:val="00D020D3"/>
    <w:rsid w:val="00D87BDF"/>
    <w:rsid w:val="00DE60A7"/>
    <w:rsid w:val="00E04EAE"/>
    <w:rsid w:val="00E407AF"/>
    <w:rsid w:val="00E46788"/>
    <w:rsid w:val="00E672AB"/>
    <w:rsid w:val="00E70E14"/>
    <w:rsid w:val="00E75DB6"/>
    <w:rsid w:val="00E762A2"/>
    <w:rsid w:val="00E81595"/>
    <w:rsid w:val="00E85667"/>
    <w:rsid w:val="00EB4789"/>
    <w:rsid w:val="00ED02E8"/>
    <w:rsid w:val="00ED48D4"/>
    <w:rsid w:val="00EE78B8"/>
    <w:rsid w:val="00F252EE"/>
    <w:rsid w:val="00F26073"/>
    <w:rsid w:val="00F45AAD"/>
    <w:rsid w:val="00FA73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C6A2FFE-5921-4567-BFFB-348B3465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B07"/>
    <w:pPr>
      <w:spacing w:after="0" w:line="280" w:lineRule="atLeast"/>
    </w:pPr>
    <w:rPr>
      <w:rFonts w:ascii="Verdana" w:hAnsi="Verdana"/>
      <w:sz w:val="18"/>
    </w:rPr>
  </w:style>
  <w:style w:type="paragraph" w:styleId="Overskrift1">
    <w:name w:val="heading 1"/>
    <w:basedOn w:val="Normal"/>
    <w:next w:val="Normal"/>
    <w:link w:val="Overskrift1Tegn"/>
    <w:uiPriority w:val="9"/>
    <w:qFormat/>
    <w:rsid w:val="00062C56"/>
    <w:pPr>
      <w:keepNext/>
      <w:keepLines/>
      <w:spacing w:after="120" w:line="240" w:lineRule="atLeast"/>
      <w:outlineLvl w:val="0"/>
    </w:pPr>
    <w:rPr>
      <w:rFonts w:eastAsiaTheme="majorEastAsia" w:cstheme="majorBidi"/>
      <w:bCs/>
      <w:sz w:val="36"/>
      <w:szCs w:val="28"/>
    </w:rPr>
  </w:style>
  <w:style w:type="paragraph" w:styleId="Overskrift2">
    <w:name w:val="heading 2"/>
    <w:basedOn w:val="Normal"/>
    <w:next w:val="Normal"/>
    <w:link w:val="Overskrift2Tegn"/>
    <w:uiPriority w:val="9"/>
    <w:unhideWhenUsed/>
    <w:qFormat/>
    <w:rsid w:val="00462165"/>
    <w:pPr>
      <w:keepNext/>
      <w:outlineLvl w:val="1"/>
    </w:pPr>
    <w:rPr>
      <w:b/>
    </w:rPr>
  </w:style>
  <w:style w:type="paragraph" w:styleId="Overskrift3">
    <w:name w:val="heading 3"/>
    <w:basedOn w:val="Normal"/>
    <w:next w:val="Normal"/>
    <w:link w:val="Overskrift3Tegn"/>
    <w:uiPriority w:val="9"/>
    <w:unhideWhenUsed/>
    <w:qFormat/>
    <w:rsid w:val="00462165"/>
    <w:pPr>
      <w:keepNext/>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680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680B0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80B07"/>
    <w:rPr>
      <w:rFonts w:ascii="Tahoma" w:hAnsi="Tahoma" w:cs="Tahoma"/>
      <w:sz w:val="16"/>
      <w:szCs w:val="16"/>
    </w:rPr>
  </w:style>
  <w:style w:type="character" w:customStyle="1" w:styleId="Overskrift1Tegn">
    <w:name w:val="Overskrift 1 Tegn"/>
    <w:basedOn w:val="Standardskrifttypeiafsnit"/>
    <w:link w:val="Overskrift1"/>
    <w:uiPriority w:val="9"/>
    <w:rsid w:val="00062C56"/>
    <w:rPr>
      <w:rFonts w:ascii="Verdana" w:eastAsiaTheme="majorEastAsia" w:hAnsi="Verdana" w:cstheme="majorBidi"/>
      <w:bCs/>
      <w:sz w:val="36"/>
      <w:szCs w:val="28"/>
    </w:rPr>
  </w:style>
  <w:style w:type="paragraph" w:customStyle="1" w:styleId="Vedrrende">
    <w:name w:val="Vedrørende"/>
    <w:basedOn w:val="Normal"/>
    <w:rsid w:val="00680B07"/>
    <w:rPr>
      <w:sz w:val="22"/>
    </w:rPr>
  </w:style>
  <w:style w:type="paragraph" w:styleId="Sidehoved">
    <w:name w:val="header"/>
    <w:basedOn w:val="Normal"/>
    <w:link w:val="SidehovedTegn"/>
    <w:uiPriority w:val="99"/>
    <w:unhideWhenUsed/>
    <w:rsid w:val="00680B0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80B07"/>
    <w:rPr>
      <w:rFonts w:ascii="Verdana" w:hAnsi="Verdana"/>
      <w:sz w:val="18"/>
    </w:rPr>
  </w:style>
  <w:style w:type="paragraph" w:styleId="Sidefod">
    <w:name w:val="footer"/>
    <w:basedOn w:val="Normal"/>
    <w:link w:val="SidefodTegn"/>
    <w:uiPriority w:val="99"/>
    <w:unhideWhenUsed/>
    <w:rsid w:val="007B6B4F"/>
    <w:pPr>
      <w:tabs>
        <w:tab w:val="center" w:pos="4819"/>
        <w:tab w:val="right" w:pos="9638"/>
      </w:tabs>
      <w:spacing w:line="240" w:lineRule="auto"/>
    </w:pPr>
    <w:rPr>
      <w:sz w:val="16"/>
    </w:rPr>
  </w:style>
  <w:style w:type="character" w:customStyle="1" w:styleId="SidefodTegn">
    <w:name w:val="Sidefod Tegn"/>
    <w:basedOn w:val="Standardskrifttypeiafsnit"/>
    <w:link w:val="Sidefod"/>
    <w:uiPriority w:val="99"/>
    <w:rsid w:val="007B6B4F"/>
    <w:rPr>
      <w:rFonts w:ascii="Verdana" w:hAnsi="Verdana"/>
      <w:sz w:val="16"/>
    </w:rPr>
  </w:style>
  <w:style w:type="paragraph" w:customStyle="1" w:styleId="Kolofon">
    <w:name w:val="Kolofon"/>
    <w:basedOn w:val="Normal"/>
    <w:rsid w:val="00680B07"/>
    <w:pPr>
      <w:framePr w:wrap="around" w:vAnchor="page" w:hAnchor="page" w:x="8676" w:y="4707"/>
      <w:spacing w:after="60" w:line="220" w:lineRule="atLeast"/>
      <w:suppressOverlap/>
    </w:pPr>
    <w:rPr>
      <w:sz w:val="14"/>
    </w:rPr>
  </w:style>
  <w:style w:type="character" w:customStyle="1" w:styleId="Overskrift2Tegn">
    <w:name w:val="Overskrift 2 Tegn"/>
    <w:basedOn w:val="Standardskrifttypeiafsnit"/>
    <w:link w:val="Overskrift2"/>
    <w:uiPriority w:val="9"/>
    <w:rsid w:val="00462165"/>
    <w:rPr>
      <w:rFonts w:ascii="Verdana" w:hAnsi="Verdana"/>
      <w:b/>
      <w:sz w:val="18"/>
    </w:rPr>
  </w:style>
  <w:style w:type="character" w:customStyle="1" w:styleId="Overskrift3Tegn">
    <w:name w:val="Overskrift 3 Tegn"/>
    <w:basedOn w:val="Standardskrifttypeiafsnit"/>
    <w:link w:val="Overskrift3"/>
    <w:uiPriority w:val="9"/>
    <w:rsid w:val="00462165"/>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dynamictemplate2016\Skabeloner\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5B6FD-38FC-4D51-9AFB-B1D76EC2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0</TotalTime>
  <Pages>4</Pages>
  <Words>1009</Words>
  <Characters>6190</Characters>
  <Application>Microsoft Office Word</Application>
  <DocSecurity>4</DocSecurity>
  <Lines>162</Lines>
  <Paragraphs>59</Paragraphs>
  <ScaleCrop>false</ScaleCrop>
  <HeadingPairs>
    <vt:vector size="2" baseType="variant">
      <vt:variant>
        <vt:lpstr>Titel</vt:lpstr>
      </vt:variant>
      <vt:variant>
        <vt:i4>1</vt:i4>
      </vt:variant>
    </vt:vector>
  </HeadingPairs>
  <TitlesOfParts>
    <vt:vector size="1" baseType="lpstr">
      <vt:lpstr>Notat</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Cigdem Koyuncu</dc:creator>
  <cp:lastModifiedBy>Eigil Iversen</cp:lastModifiedBy>
  <cp:revision>2</cp:revision>
  <dcterms:created xsi:type="dcterms:W3CDTF">2021-12-20T12:30:00Z</dcterms:created>
  <dcterms:modified xsi:type="dcterms:W3CDTF">2021-12-20T12:30:00Z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{28938558-1ACF-44A3-BE0A-D28D6D0E0302}</vt:lpwstr>
  </property>
</Properties>
</file>